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A6C9" w14:textId="77777777" w:rsidR="003F7EF0" w:rsidRPr="00AF328D" w:rsidRDefault="003F7EF0" w:rsidP="003F7EF0">
      <w:pPr>
        <w:spacing w:after="60"/>
        <w:ind w:left="0" w:firstLine="0"/>
        <w:jc w:val="both"/>
        <w:rPr>
          <w:rFonts w:ascii="Times New Roman" w:hAnsi="Times New Roman"/>
          <w:sz w:val="32"/>
          <w:szCs w:val="32"/>
        </w:rPr>
      </w:pPr>
      <w:r w:rsidRPr="00AF328D">
        <w:rPr>
          <w:rFonts w:ascii="Times New Roman" w:hAnsi="Times New Roman"/>
          <w:sz w:val="32"/>
          <w:szCs w:val="32"/>
        </w:rPr>
        <w:t>Bekenntnis der Artikel des Glaubens wider die Feinde des Evangeliums und allerlei Ketzereien, 1528</w:t>
      </w:r>
    </w:p>
    <w:p w14:paraId="62522703" w14:textId="168189E0" w:rsidR="003F7EF0" w:rsidRDefault="00B45F62" w:rsidP="003F7EF0">
      <w:pPr>
        <w:spacing w:after="60"/>
        <w:ind w:left="0" w:firstLine="0"/>
        <w:jc w:val="both"/>
        <w:rPr>
          <w:rFonts w:ascii="Times New Roman" w:hAnsi="Times New Roman"/>
        </w:rPr>
      </w:pPr>
      <w:r>
        <w:rPr>
          <w:rFonts w:ascii="Times New Roman" w:hAnsi="Times New Roman"/>
        </w:rPr>
        <w:t xml:space="preserve">Aus </w:t>
      </w:r>
      <w:r w:rsidR="003F7EF0" w:rsidRPr="003F7EF0">
        <w:rPr>
          <w:rFonts w:ascii="Times New Roman" w:hAnsi="Times New Roman"/>
        </w:rPr>
        <w:t>Martin Luther, Vom Abendmahl Christi. Bekenntnis, dritter Teil (WA 26,499-509)</w:t>
      </w:r>
    </w:p>
    <w:p w14:paraId="0E01333B" w14:textId="77777777" w:rsidR="003F7EF0" w:rsidRPr="00AF328D" w:rsidRDefault="003F7EF0" w:rsidP="003F7EF0">
      <w:pPr>
        <w:spacing w:after="60"/>
        <w:ind w:left="0" w:firstLine="0"/>
        <w:jc w:val="both"/>
        <w:rPr>
          <w:rFonts w:ascii="Times New Roman" w:hAnsi="Times New Roman"/>
        </w:rPr>
      </w:pPr>
    </w:p>
    <w:p w14:paraId="5B87CD22" w14:textId="77777777" w:rsidR="003F7EF0" w:rsidRPr="00AF328D" w:rsidRDefault="003F7EF0" w:rsidP="003F7EF0">
      <w:pPr>
        <w:spacing w:after="60" w:line="276" w:lineRule="auto"/>
        <w:ind w:left="0" w:firstLine="0"/>
        <w:jc w:val="both"/>
        <w:rPr>
          <w:rFonts w:ascii="Times New Roman" w:hAnsi="Times New Roman"/>
          <w:sz w:val="24"/>
          <w:szCs w:val="24"/>
        </w:rPr>
      </w:pPr>
      <w:r w:rsidRPr="00AF328D">
        <w:rPr>
          <w:rFonts w:ascii="Times New Roman" w:hAnsi="Times New Roman"/>
          <w:b/>
          <w:sz w:val="24"/>
          <w:szCs w:val="24"/>
        </w:rPr>
        <w:t>Zum dritten glaube</w:t>
      </w:r>
      <w:r w:rsidRPr="00AF328D">
        <w:rPr>
          <w:rFonts w:ascii="Times New Roman" w:hAnsi="Times New Roman"/>
          <w:sz w:val="24"/>
          <w:szCs w:val="24"/>
        </w:rPr>
        <w:t xml:space="preserve"> ich an den heiligen Geist, der mit Vater und Sohn ein wahrhaftiger Gott ist und vom Vater und Sohn ewiglich kommt, doch in einem göttlichen Wesen und Natur eine unterschiedliche Person. Durch denselben werden alle Gläubigen als eine lebendige, ewige, göttliche Gabe und Geschenk mit dem Glauben und andern geistlichen Gaben </w:t>
      </w:r>
      <w:proofErr w:type="spellStart"/>
      <w:r w:rsidRPr="00AF328D">
        <w:rPr>
          <w:rFonts w:ascii="Times New Roman" w:hAnsi="Times New Roman"/>
          <w:sz w:val="24"/>
          <w:szCs w:val="24"/>
        </w:rPr>
        <w:t>gezieret</w:t>
      </w:r>
      <w:proofErr w:type="spellEnd"/>
      <w:r w:rsidRPr="00AF328D">
        <w:rPr>
          <w:rFonts w:ascii="Times New Roman" w:hAnsi="Times New Roman"/>
          <w:sz w:val="24"/>
          <w:szCs w:val="24"/>
        </w:rPr>
        <w:t>, vom Tode auferweckt, von Sünden befreit und fröhlich und getrost, frei und sicher im Gewissen gemacht. Denn das ist unser Trotz, dass wir solches Geistes Zeugnis in unserm Herzen fühlen, dass Gott unser Vater sein, Sünde vergeben und ewiges Leben geschenkt haben will.</w:t>
      </w:r>
    </w:p>
    <w:p w14:paraId="03D574B6" w14:textId="77777777" w:rsidR="003F7EF0" w:rsidRPr="00AF328D" w:rsidRDefault="003F7EF0" w:rsidP="003F7EF0">
      <w:pPr>
        <w:spacing w:after="60" w:line="276" w:lineRule="auto"/>
        <w:ind w:left="0" w:firstLine="0"/>
        <w:jc w:val="both"/>
        <w:rPr>
          <w:rFonts w:ascii="Times New Roman" w:hAnsi="Times New Roman"/>
          <w:sz w:val="24"/>
          <w:szCs w:val="24"/>
        </w:rPr>
      </w:pPr>
      <w:r w:rsidRPr="00AF328D">
        <w:rPr>
          <w:rFonts w:ascii="Times New Roman" w:hAnsi="Times New Roman"/>
          <w:sz w:val="24"/>
          <w:szCs w:val="24"/>
        </w:rPr>
        <w:t>…</w:t>
      </w:r>
    </w:p>
    <w:p w14:paraId="2EEB180D" w14:textId="77777777" w:rsidR="003F7EF0" w:rsidRPr="00AF328D" w:rsidRDefault="003F7EF0" w:rsidP="003F7EF0">
      <w:pPr>
        <w:spacing w:after="60" w:line="276" w:lineRule="auto"/>
        <w:ind w:left="0" w:firstLine="0"/>
        <w:jc w:val="both"/>
        <w:rPr>
          <w:rFonts w:ascii="Times New Roman" w:hAnsi="Times New Roman"/>
          <w:sz w:val="24"/>
          <w:szCs w:val="24"/>
        </w:rPr>
      </w:pPr>
      <w:r w:rsidRPr="00AF328D">
        <w:rPr>
          <w:rFonts w:ascii="Times New Roman" w:hAnsi="Times New Roman"/>
          <w:sz w:val="24"/>
          <w:szCs w:val="24"/>
        </w:rPr>
        <w:t xml:space="preserve">Für die Toten, weil die Schrift nichts davon meldet, meine ich, dass es nicht Sünde sei, aus freier Andacht so oder dergleichen zu bitten: Lieber Gott, hat es mit der Seele solche Gestalt, dass ihr zu helfen sei, so sei ihr gnädig usw. Und wenn solches einmal geschehen ist oder zweimal, so lass es genug sein. Denn die Totengedächtnisse und Seelenmessen und jährlichen Begängnisse sind nichts nütze und sind des Teufels Jahrmarkt. Wir haben auch nichts in der Schrift vom Fegefeuer, und ebenso ist auch das von den Erscheinungen Verstorbener von Menschen aufgebracht worden. Darum meine ich, dass es nicht notwendig sei, eines (davon) zu glauben, obwohl Gott alle Dinge möglich </w:t>
      </w:r>
      <w:proofErr w:type="gramStart"/>
      <w:r w:rsidRPr="00AF328D">
        <w:rPr>
          <w:rFonts w:ascii="Times New Roman" w:hAnsi="Times New Roman"/>
          <w:sz w:val="24"/>
          <w:szCs w:val="24"/>
        </w:rPr>
        <w:t>sind</w:t>
      </w:r>
      <w:proofErr w:type="gramEnd"/>
      <w:r w:rsidRPr="00AF328D">
        <w:rPr>
          <w:rFonts w:ascii="Times New Roman" w:hAnsi="Times New Roman"/>
          <w:sz w:val="24"/>
          <w:szCs w:val="24"/>
        </w:rPr>
        <w:t xml:space="preserve">, er auch die Seele nach dem Abschied vom Leibe peinigen lassen könnte. Aber er hats nicht sagen noch schreiben lassen, darum will </w:t>
      </w:r>
      <w:proofErr w:type="spellStart"/>
      <w:r w:rsidRPr="00AF328D">
        <w:rPr>
          <w:rFonts w:ascii="Times New Roman" w:hAnsi="Times New Roman"/>
          <w:sz w:val="24"/>
          <w:szCs w:val="24"/>
        </w:rPr>
        <w:t>ers</w:t>
      </w:r>
      <w:proofErr w:type="spellEnd"/>
      <w:r w:rsidRPr="00AF328D">
        <w:rPr>
          <w:rFonts w:ascii="Times New Roman" w:hAnsi="Times New Roman"/>
          <w:sz w:val="24"/>
          <w:szCs w:val="24"/>
        </w:rPr>
        <w:t xml:space="preserve"> auch nicht geglaubt haben. Ich weiss aber sonst wohl ein Fegefeuer, aber davon ist nichts in der Gemeinde zu lehren noch dawider mit Stiftungen und Vigilien zu handeln.</w:t>
      </w:r>
    </w:p>
    <w:p w14:paraId="6D55654E" w14:textId="7F0A523C" w:rsidR="003F7EF0" w:rsidRPr="00AF328D" w:rsidRDefault="003F7EF0" w:rsidP="003F7EF0">
      <w:pPr>
        <w:spacing w:after="60" w:line="276" w:lineRule="auto"/>
        <w:ind w:left="0" w:firstLine="0"/>
        <w:jc w:val="both"/>
        <w:rPr>
          <w:rFonts w:ascii="Times New Roman" w:hAnsi="Times New Roman"/>
          <w:sz w:val="24"/>
          <w:szCs w:val="24"/>
        </w:rPr>
      </w:pPr>
      <w:r w:rsidRPr="00AF328D">
        <w:rPr>
          <w:rFonts w:ascii="Times New Roman" w:hAnsi="Times New Roman"/>
          <w:sz w:val="24"/>
          <w:szCs w:val="24"/>
        </w:rPr>
        <w:t xml:space="preserve">Die Heiligen anzurufen haben andere eher als ich angegriffen, und mir gefällt es, und ich </w:t>
      </w:r>
      <w:proofErr w:type="spellStart"/>
      <w:r w:rsidRPr="00AF328D">
        <w:rPr>
          <w:rFonts w:ascii="Times New Roman" w:hAnsi="Times New Roman"/>
          <w:sz w:val="24"/>
          <w:szCs w:val="24"/>
        </w:rPr>
        <w:t>glaubs</w:t>
      </w:r>
      <w:proofErr w:type="spellEnd"/>
      <w:r w:rsidRPr="00AF328D">
        <w:rPr>
          <w:rFonts w:ascii="Times New Roman" w:hAnsi="Times New Roman"/>
          <w:sz w:val="24"/>
          <w:szCs w:val="24"/>
        </w:rPr>
        <w:t xml:space="preserve"> auch, dass Christus allein als unser Mittler anzurufen sei. Das gibt die Schrift und ist sicher. Von Heiligen anzurufen ist nichts in der Schrift, darum muss es unsicher und nicht zu glauben sein.</w:t>
      </w:r>
      <w:r w:rsidR="00B45F62">
        <w:rPr>
          <w:rFonts w:ascii="Times New Roman" w:hAnsi="Times New Roman"/>
          <w:sz w:val="24"/>
          <w:szCs w:val="24"/>
        </w:rPr>
        <w:t xml:space="preserve">   </w:t>
      </w:r>
      <w:r w:rsidRPr="00AF328D">
        <w:rPr>
          <w:rFonts w:ascii="Times New Roman" w:hAnsi="Times New Roman"/>
          <w:sz w:val="24"/>
          <w:szCs w:val="24"/>
        </w:rPr>
        <w:t>…</w:t>
      </w:r>
    </w:p>
    <w:p w14:paraId="001C6092" w14:textId="77777777" w:rsidR="003F7EF0" w:rsidRPr="00AF328D" w:rsidRDefault="003F7EF0" w:rsidP="003F7EF0">
      <w:pPr>
        <w:spacing w:after="60" w:line="276" w:lineRule="auto"/>
        <w:ind w:left="0" w:firstLine="0"/>
        <w:jc w:val="both"/>
        <w:rPr>
          <w:rFonts w:ascii="Times New Roman" w:hAnsi="Times New Roman"/>
          <w:sz w:val="24"/>
          <w:szCs w:val="24"/>
        </w:rPr>
      </w:pPr>
      <w:r w:rsidRPr="00AF328D">
        <w:rPr>
          <w:rFonts w:ascii="Times New Roman" w:hAnsi="Times New Roman"/>
          <w:sz w:val="24"/>
          <w:szCs w:val="24"/>
        </w:rPr>
        <w:t>Bilder, Glocken, Messgewand, Kirchenschmuck, Altarlichter und dergleichen halte ich für frei. Wer da will, der kanns lassen, obwohl ich Bilder aus der Schrift und von guten Historien für sehr nützlich halte, aber doch frei und in eines jeden Ermessen. Denn mit den Bilderstürmern halte ich es nicht.</w:t>
      </w:r>
    </w:p>
    <w:p w14:paraId="5BB15EA2" w14:textId="77777777" w:rsidR="003F7EF0" w:rsidRPr="00AF328D" w:rsidRDefault="003F7EF0" w:rsidP="003F7EF0">
      <w:pPr>
        <w:spacing w:after="60" w:line="276" w:lineRule="auto"/>
        <w:ind w:left="0" w:firstLine="0"/>
        <w:jc w:val="both"/>
        <w:rPr>
          <w:rFonts w:ascii="Times New Roman" w:hAnsi="Times New Roman"/>
          <w:sz w:val="24"/>
          <w:szCs w:val="24"/>
        </w:rPr>
      </w:pPr>
      <w:r w:rsidRPr="00AF328D">
        <w:rPr>
          <w:rFonts w:ascii="Times New Roman" w:hAnsi="Times New Roman"/>
          <w:sz w:val="24"/>
          <w:szCs w:val="24"/>
        </w:rPr>
        <w:t>Zuletzt glaube ich die Auferstehung aller Toten am Jüngsten Tage, sowohl der frommen und der bösen, dass ein jeglicher daselbst an seinem Leibe empfange, wie er es verdienet hat und so die Frommen ewiglich leben mit Christus und die Bösen ewiglich sterben mit dem Teufel und seinen Engeln. Denn ich halte es nicht mit denen, die da lehren, dass die Teufel auch endlich zur Seligkeit kommen werden.</w:t>
      </w:r>
    </w:p>
    <w:p w14:paraId="3E886364" w14:textId="77777777" w:rsidR="003F7EF0" w:rsidRPr="00AF328D" w:rsidRDefault="003F7EF0" w:rsidP="003F7EF0">
      <w:pPr>
        <w:spacing w:after="60" w:line="276" w:lineRule="auto"/>
        <w:ind w:left="0" w:firstLine="0"/>
        <w:jc w:val="both"/>
        <w:rPr>
          <w:rFonts w:ascii="Times New Roman" w:hAnsi="Times New Roman"/>
          <w:sz w:val="24"/>
          <w:szCs w:val="24"/>
        </w:rPr>
      </w:pPr>
      <w:r w:rsidRPr="00AF328D">
        <w:rPr>
          <w:rFonts w:ascii="Times New Roman" w:hAnsi="Times New Roman"/>
          <w:sz w:val="24"/>
          <w:szCs w:val="24"/>
        </w:rPr>
        <w:t xml:space="preserve">Das ist mein Glaube; denn so glauben alle rechten Christen und so lehret uns die </w:t>
      </w:r>
      <w:proofErr w:type="spellStart"/>
      <w:r w:rsidRPr="00AF328D">
        <w:rPr>
          <w:rFonts w:ascii="Times New Roman" w:hAnsi="Times New Roman"/>
          <w:sz w:val="24"/>
          <w:szCs w:val="24"/>
        </w:rPr>
        <w:t>heilige</w:t>
      </w:r>
      <w:proofErr w:type="spellEnd"/>
      <w:r w:rsidRPr="00AF328D">
        <w:rPr>
          <w:rFonts w:ascii="Times New Roman" w:hAnsi="Times New Roman"/>
          <w:sz w:val="24"/>
          <w:szCs w:val="24"/>
        </w:rPr>
        <w:t xml:space="preserve"> Schrift. Was ich aber hier zu wenig gesagt habe, </w:t>
      </w:r>
      <w:proofErr w:type="spellStart"/>
      <w:r w:rsidRPr="00AF328D">
        <w:rPr>
          <w:rFonts w:ascii="Times New Roman" w:hAnsi="Times New Roman"/>
          <w:sz w:val="24"/>
          <w:szCs w:val="24"/>
        </w:rPr>
        <w:t>des</w:t>
      </w:r>
      <w:proofErr w:type="spellEnd"/>
      <w:r w:rsidRPr="00AF328D">
        <w:rPr>
          <w:rFonts w:ascii="Times New Roman" w:hAnsi="Times New Roman"/>
          <w:sz w:val="24"/>
          <w:szCs w:val="24"/>
        </w:rPr>
        <w:t xml:space="preserve"> </w:t>
      </w:r>
      <w:proofErr w:type="spellStart"/>
      <w:r w:rsidRPr="00AF328D">
        <w:rPr>
          <w:rFonts w:ascii="Times New Roman" w:hAnsi="Times New Roman"/>
          <w:sz w:val="24"/>
          <w:szCs w:val="24"/>
        </w:rPr>
        <w:t>werden</w:t>
      </w:r>
      <w:proofErr w:type="spellEnd"/>
      <w:r w:rsidRPr="00AF328D">
        <w:rPr>
          <w:rFonts w:ascii="Times New Roman" w:hAnsi="Times New Roman"/>
          <w:sz w:val="24"/>
          <w:szCs w:val="24"/>
        </w:rPr>
        <w:t xml:space="preserve"> mir meine Bücher genugsam Zeugnis geben, besonders die in den letzten vier oder fünf Jahren ausgegangen sind. Alle frommen Herzen, bitte ich, wollten mir (dessen) Zeugen sein und für mich bitten, dass ich in solchem Glauben fest bestehen und mein Ende beschliessen möge. Denn (Gott möge es verhüten!</w:t>
      </w:r>
      <w:proofErr w:type="gramStart"/>
      <w:r w:rsidRPr="00AF328D">
        <w:rPr>
          <w:rFonts w:ascii="Times New Roman" w:hAnsi="Times New Roman"/>
          <w:sz w:val="24"/>
          <w:szCs w:val="24"/>
        </w:rPr>
        <w:t>)</w:t>
      </w:r>
      <w:proofErr w:type="gramEnd"/>
      <w:r w:rsidRPr="00AF328D">
        <w:rPr>
          <w:rFonts w:ascii="Times New Roman" w:hAnsi="Times New Roman"/>
          <w:sz w:val="24"/>
          <w:szCs w:val="24"/>
        </w:rPr>
        <w:t xml:space="preserve"> wenn ich aus Anfechtung und Todesnöten etwas anders sagen würde, so soll es doch nichts sein, und ich will hiermit öffentlich bekannt haben, dass es unrecht und vom Teufel eingegeben sei. Dazu helfe mir mein Herr und Heiland Jesus Christus, gebenedeit in Ewigkeit, Amen.</w:t>
      </w:r>
    </w:p>
    <w:sectPr w:rsidR="003F7EF0" w:rsidRPr="00AF328D" w:rsidSect="00B45F62">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F0"/>
    <w:rsid w:val="0029667C"/>
    <w:rsid w:val="003F7EF0"/>
    <w:rsid w:val="00671E41"/>
    <w:rsid w:val="00B45F62"/>
    <w:rsid w:val="00BA2D25"/>
    <w:rsid w:val="00F927A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00ED"/>
  <w15:chartTrackingRefBased/>
  <w15:docId w15:val="{6E5CC92E-D0BF-45AF-9FAE-1F1F95BD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7EF0"/>
    <w:pPr>
      <w:spacing w:after="120" w:line="240" w:lineRule="auto"/>
      <w:ind w:left="1077" w:hanging="357"/>
    </w:pPr>
    <w:rPr>
      <w:rFonts w:ascii="Calibri" w:eastAsia="Calibri" w:hAnsi="Calibri" w:cs="Times New Roman"/>
      <w:kern w:val="0"/>
      <w14:ligatures w14:val="none"/>
    </w:rPr>
  </w:style>
  <w:style w:type="paragraph" w:styleId="berschrift1">
    <w:name w:val="heading 1"/>
    <w:basedOn w:val="Standard"/>
    <w:next w:val="Standard"/>
    <w:link w:val="berschrift1Zchn"/>
    <w:uiPriority w:val="9"/>
    <w:qFormat/>
    <w:rsid w:val="003F7EF0"/>
    <w:pPr>
      <w:keepNext/>
      <w:keepLines/>
      <w:spacing w:before="360" w:after="80" w:line="259" w:lineRule="auto"/>
      <w:ind w:left="0" w:firstLine="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3F7EF0"/>
    <w:pPr>
      <w:keepNext/>
      <w:keepLines/>
      <w:spacing w:before="160" w:after="80" w:line="259" w:lineRule="auto"/>
      <w:ind w:left="0" w:firstLine="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3F7EF0"/>
    <w:pPr>
      <w:keepNext/>
      <w:keepLines/>
      <w:spacing w:before="160" w:after="80" w:line="259" w:lineRule="auto"/>
      <w:ind w:left="0" w:firstLine="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3F7EF0"/>
    <w:pPr>
      <w:keepNext/>
      <w:keepLines/>
      <w:spacing w:before="80" w:after="40" w:line="259" w:lineRule="auto"/>
      <w:ind w:left="0" w:firstLine="0"/>
      <w:outlineLvl w:val="3"/>
    </w:pPr>
    <w:rPr>
      <w:rFonts w:asciiTheme="minorHAnsi" w:eastAsiaTheme="majorEastAsia" w:hAnsiTheme="minorHAnsi" w:cstheme="majorBidi"/>
      <w:i/>
      <w:iCs/>
      <w:color w:val="2F5496"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3F7EF0"/>
    <w:pPr>
      <w:keepNext/>
      <w:keepLines/>
      <w:spacing w:before="80" w:after="40" w:line="259" w:lineRule="auto"/>
      <w:ind w:left="0" w:firstLine="0"/>
      <w:outlineLvl w:val="4"/>
    </w:pPr>
    <w:rPr>
      <w:rFonts w:asciiTheme="minorHAnsi" w:eastAsiaTheme="majorEastAsia" w:hAnsiTheme="minorHAnsi" w:cstheme="majorBidi"/>
      <w:color w:val="2F5496"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3F7EF0"/>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3F7EF0"/>
    <w:pPr>
      <w:keepNext/>
      <w:keepLines/>
      <w:spacing w:before="40" w:after="0" w:line="259" w:lineRule="auto"/>
      <w:ind w:left="0" w:firstLine="0"/>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3F7EF0"/>
    <w:pPr>
      <w:keepNext/>
      <w:keepLines/>
      <w:spacing w:after="0" w:line="259" w:lineRule="auto"/>
      <w:ind w:left="0" w:firstLine="0"/>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3F7EF0"/>
    <w:pPr>
      <w:keepNext/>
      <w:keepLines/>
      <w:spacing w:after="0" w:line="259" w:lineRule="auto"/>
      <w:ind w:left="0" w:firstLine="0"/>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7EF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F7EF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F7EF0"/>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F7EF0"/>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F7EF0"/>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F7EF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7EF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F7EF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7EF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F7EF0"/>
    <w:pPr>
      <w:spacing w:after="80"/>
      <w:ind w:left="0"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3F7E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7EF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3F7EF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F7EF0"/>
    <w:pPr>
      <w:spacing w:before="160" w:after="160" w:line="259" w:lineRule="auto"/>
      <w:ind w:left="0" w:firstLine="0"/>
      <w:jc w:val="center"/>
    </w:pPr>
    <w:rPr>
      <w:rFonts w:ascii="Arial" w:eastAsiaTheme="minorHAnsi" w:hAnsi="Arial"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3F7EF0"/>
    <w:rPr>
      <w:i/>
      <w:iCs/>
      <w:color w:val="404040" w:themeColor="text1" w:themeTint="BF"/>
    </w:rPr>
  </w:style>
  <w:style w:type="paragraph" w:styleId="Listenabsatz">
    <w:name w:val="List Paragraph"/>
    <w:basedOn w:val="Standard"/>
    <w:uiPriority w:val="34"/>
    <w:qFormat/>
    <w:rsid w:val="003F7EF0"/>
    <w:pPr>
      <w:spacing w:after="160" w:line="259" w:lineRule="auto"/>
      <w:ind w:left="720" w:firstLine="0"/>
      <w:contextualSpacing/>
    </w:pPr>
    <w:rPr>
      <w:rFonts w:ascii="Arial" w:eastAsiaTheme="minorHAnsi" w:hAnsi="Arial" w:cstheme="minorBidi"/>
      <w:kern w:val="2"/>
      <w14:ligatures w14:val="standardContextual"/>
    </w:rPr>
  </w:style>
  <w:style w:type="character" w:styleId="IntensiveHervorhebung">
    <w:name w:val="Intense Emphasis"/>
    <w:basedOn w:val="Absatz-Standardschriftart"/>
    <w:uiPriority w:val="21"/>
    <w:qFormat/>
    <w:rsid w:val="003F7EF0"/>
    <w:rPr>
      <w:i/>
      <w:iCs/>
      <w:color w:val="2F5496" w:themeColor="accent1" w:themeShade="BF"/>
    </w:rPr>
  </w:style>
  <w:style w:type="paragraph" w:styleId="IntensivesZitat">
    <w:name w:val="Intense Quote"/>
    <w:basedOn w:val="Standard"/>
    <w:next w:val="Standard"/>
    <w:link w:val="IntensivesZitatZchn"/>
    <w:uiPriority w:val="30"/>
    <w:qFormat/>
    <w:rsid w:val="003F7EF0"/>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Arial" w:eastAsiaTheme="minorHAnsi" w:hAnsi="Arial" w:cstheme="minorBidi"/>
      <w:i/>
      <w:iCs/>
      <w:color w:val="2F5496"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3F7EF0"/>
    <w:rPr>
      <w:i/>
      <w:iCs/>
      <w:color w:val="2F5496" w:themeColor="accent1" w:themeShade="BF"/>
    </w:rPr>
  </w:style>
  <w:style w:type="character" w:styleId="IntensiverVerweis">
    <w:name w:val="Intense Reference"/>
    <w:basedOn w:val="Absatz-Standardschriftart"/>
    <w:uiPriority w:val="32"/>
    <w:qFormat/>
    <w:rsid w:val="003F7E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3031</Characters>
  <Application>Microsoft Office Word</Application>
  <DocSecurity>0</DocSecurity>
  <Lines>25</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Rothen</dc:creator>
  <cp:keywords/>
  <dc:description/>
  <cp:lastModifiedBy>Bernhard Rothen</cp:lastModifiedBy>
  <cp:revision>2</cp:revision>
  <dcterms:created xsi:type="dcterms:W3CDTF">2025-12-16T10:18:00Z</dcterms:created>
  <dcterms:modified xsi:type="dcterms:W3CDTF">2025-12-16T10:18:00Z</dcterms:modified>
</cp:coreProperties>
</file>